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DA" w:rsidRDefault="002E1755" w:rsidP="002E25DA">
      <w:pPr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5591175</wp:posOffset>
            </wp:positionH>
            <wp:positionV relativeFrom="paragraph">
              <wp:posOffset>-267335</wp:posOffset>
            </wp:positionV>
            <wp:extent cx="1273810" cy="752475"/>
            <wp:effectExtent l="0" t="0" r="2540" b="9525"/>
            <wp:wrapNone/>
            <wp:docPr id="2" name="Picture 2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5DA" w:rsidRDefault="00351E20">
      <w:pPr>
        <w:rPr>
          <w:rFonts w:ascii="Gill Sans MT" w:hAnsi="Gill Sans MT"/>
          <w:b/>
        </w:rPr>
      </w:pPr>
      <w:r w:rsidRPr="002E25DA">
        <w:rPr>
          <w:rFonts w:ascii="Gill Sans MT" w:hAnsi="Gill Sans MT"/>
          <w:b/>
        </w:rPr>
        <w:t xml:space="preserve">Protocol – </w:t>
      </w:r>
      <w:r w:rsidR="00FA38C5">
        <w:rPr>
          <w:rFonts w:ascii="Gill Sans MT" w:hAnsi="Gill Sans MT"/>
          <w:b/>
        </w:rPr>
        <w:t>Transport of Fuel</w:t>
      </w:r>
    </w:p>
    <w:p w:rsidR="001E58EB" w:rsidRPr="001E58EB" w:rsidRDefault="001E58EB">
      <w:pPr>
        <w:rPr>
          <w:rFonts w:ascii="Gill Sans MT" w:hAnsi="Gill Sans MT"/>
          <w:b/>
          <w:sz w:val="4"/>
          <w:szCs w:val="4"/>
        </w:rPr>
      </w:pPr>
    </w:p>
    <w:p w:rsidR="007B2F56" w:rsidRDefault="00BC199F">
      <w:pPr>
        <w:rPr>
          <w:rFonts w:ascii="Gill Sans MT" w:hAnsi="Gill Sans MT"/>
          <w:b/>
          <w:u w:val="single"/>
        </w:rPr>
      </w:pPr>
      <w:r w:rsidRPr="00BC199F">
        <w:rPr>
          <w:rFonts w:ascii="Gill Sans MT" w:hAnsi="Gill Sans MT"/>
          <w:b/>
          <w:u w:val="single"/>
        </w:rPr>
        <w:t>INTRODUCTION</w:t>
      </w:r>
    </w:p>
    <w:p w:rsidR="007B6FA2" w:rsidRPr="00FA38C5" w:rsidRDefault="00FA38C5">
      <w:pPr>
        <w:rPr>
          <w:rFonts w:ascii="Gill Sans MT" w:hAnsi="Gill Sans MT"/>
        </w:rPr>
      </w:pPr>
      <w:r w:rsidRPr="00FA38C5">
        <w:rPr>
          <w:rFonts w:ascii="Gill Sans MT" w:hAnsi="Gill Sans MT"/>
        </w:rPr>
        <w:t xml:space="preserve">This protocol has been prepared to ensure employees who transport fuel for work purposes stay safe and within </w:t>
      </w:r>
      <w:r w:rsidRPr="00452106">
        <w:rPr>
          <w:rFonts w:ascii="Gill Sans MT" w:hAnsi="Gill Sans MT"/>
          <w:strike/>
        </w:rPr>
        <w:t>any</w:t>
      </w:r>
      <w:r w:rsidRPr="00FA38C5">
        <w:rPr>
          <w:rFonts w:ascii="Gill Sans MT" w:hAnsi="Gill Sans MT"/>
        </w:rPr>
        <w:t xml:space="preserve"> legal requirements</w:t>
      </w:r>
      <w:r>
        <w:rPr>
          <w:rFonts w:ascii="Gill Sans MT" w:hAnsi="Gill Sans MT"/>
        </w:rPr>
        <w:t>.</w:t>
      </w:r>
    </w:p>
    <w:p w:rsidR="00025C42" w:rsidRPr="003A44B3" w:rsidRDefault="001115DC" w:rsidP="007B6FA2">
      <w:pPr>
        <w:pStyle w:val="ListParagraph"/>
        <w:numPr>
          <w:ilvl w:val="0"/>
          <w:numId w:val="9"/>
        </w:numPr>
        <w:ind w:left="709"/>
        <w:rPr>
          <w:rFonts w:ascii="Gill Sans MT" w:hAnsi="Gill Sans MT"/>
          <w:b/>
        </w:rPr>
      </w:pPr>
      <w:r w:rsidRPr="003A44B3">
        <w:rPr>
          <w:rFonts w:ascii="Gill Sans MT" w:hAnsi="Gill Sans MT"/>
          <w:b/>
        </w:rPr>
        <w:t>Responsibilities</w:t>
      </w:r>
    </w:p>
    <w:p w:rsidR="007B6FA2" w:rsidRPr="007B6FA2" w:rsidRDefault="007B6FA2" w:rsidP="00FA38C5">
      <w:pPr>
        <w:spacing w:after="0" w:line="240" w:lineRule="auto"/>
        <w:ind w:left="709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All employees have the responsibility for their own safety, the safety of other employees and those who may be effected by the services we provide. </w:t>
      </w:r>
      <w:r w:rsidR="00FA38C5">
        <w:rPr>
          <w:rFonts w:ascii="Gill Sans MT" w:hAnsi="Gill Sans MT"/>
        </w:rPr>
        <w:t>Employees and managers should ensure they do not exceed any limits or controls indicated in this protocol.</w:t>
      </w:r>
    </w:p>
    <w:p w:rsidR="008E5ECF" w:rsidRDefault="008E5ECF" w:rsidP="00971B1A">
      <w:pPr>
        <w:spacing w:after="0" w:line="240" w:lineRule="auto"/>
        <w:ind w:left="709"/>
        <w:rPr>
          <w:rFonts w:ascii="Gill Sans MT" w:hAnsi="Gill Sans MT"/>
          <w:b/>
        </w:rPr>
      </w:pPr>
    </w:p>
    <w:p w:rsidR="005A4314" w:rsidRPr="00FA38C5" w:rsidRDefault="00FA38C5" w:rsidP="00FA38C5">
      <w:pPr>
        <w:pStyle w:val="ListParagraph"/>
        <w:numPr>
          <w:ilvl w:val="0"/>
          <w:numId w:val="9"/>
        </w:numPr>
        <w:spacing w:after="0" w:line="240" w:lineRule="auto"/>
        <w:rPr>
          <w:rFonts w:ascii="Gill Sans MT" w:hAnsi="Gill Sans MT"/>
          <w:b/>
        </w:rPr>
      </w:pPr>
      <w:r w:rsidRPr="00FA38C5">
        <w:rPr>
          <w:rFonts w:ascii="Gill Sans MT" w:hAnsi="Gill Sans MT"/>
          <w:b/>
        </w:rPr>
        <w:t>Maximum Quantities</w:t>
      </w:r>
    </w:p>
    <w:p w:rsidR="00FA38C5" w:rsidRPr="00FA38C5" w:rsidRDefault="00FA38C5" w:rsidP="00FA38C5">
      <w:pPr>
        <w:pStyle w:val="ListParagraph"/>
        <w:spacing w:after="0" w:line="240" w:lineRule="auto"/>
        <w:rPr>
          <w:rFonts w:ascii="Gill Sans MT" w:hAnsi="Gill Sans MT"/>
          <w:b/>
        </w:rPr>
      </w:pPr>
    </w:p>
    <w:p w:rsidR="005A4314" w:rsidRDefault="006B6EEC" w:rsidP="00FA38C5">
      <w:pPr>
        <w:spacing w:after="0" w:line="240" w:lineRule="auto"/>
        <w:ind w:left="709"/>
        <w:rPr>
          <w:rFonts w:ascii="Gill Sans MT" w:eastAsia="Times New Roman" w:hAnsi="Gill Sans MT" w:cs="Arial"/>
        </w:rPr>
      </w:pPr>
      <w:r w:rsidRPr="006B6EEC">
        <w:rPr>
          <w:rFonts w:ascii="Gill Sans MT" w:eastAsia="Times New Roman" w:hAnsi="Gill Sans MT" w:cs="Arial"/>
        </w:rPr>
        <w:t>Carriage of fuel for work purposes</w:t>
      </w:r>
      <w:r w:rsidR="00FA38C5" w:rsidRPr="006B6EEC">
        <w:rPr>
          <w:rFonts w:ascii="Gill Sans MT" w:eastAsia="Times New Roman" w:hAnsi="Gill Sans MT" w:cs="Arial"/>
        </w:rPr>
        <w:t xml:space="preserve"> is exempt from </w:t>
      </w:r>
      <w:r w:rsidR="00FF5017" w:rsidRPr="00FF5017">
        <w:rPr>
          <w:rFonts w:ascii="Gill Sans MT" w:eastAsia="Times New Roman" w:hAnsi="Gill Sans MT" w:cs="Arial"/>
        </w:rPr>
        <w:t xml:space="preserve">the general restrictions on carrying </w:t>
      </w:r>
      <w:r w:rsidR="00FA38C5" w:rsidRPr="00FF5017">
        <w:rPr>
          <w:rFonts w:ascii="Gill Sans MT" w:eastAsia="Times New Roman" w:hAnsi="Gill Sans MT" w:cs="Arial"/>
        </w:rPr>
        <w:t>goods by road</w:t>
      </w:r>
      <w:r w:rsidR="00FE0502" w:rsidRPr="00FF5017">
        <w:rPr>
          <w:rFonts w:ascii="Gill Sans MT" w:eastAsia="Times New Roman" w:hAnsi="Gill Sans MT" w:cs="Arial"/>
        </w:rPr>
        <w:t xml:space="preserve"> </w:t>
      </w:r>
      <w:r w:rsidR="00FF5017" w:rsidRPr="00FF5017">
        <w:rPr>
          <w:rFonts w:ascii="Gill Sans MT" w:eastAsia="Times New Roman" w:hAnsi="Gill Sans MT" w:cs="Arial"/>
        </w:rPr>
        <w:t>under the Carriage of Dangerous Goods and Use o</w:t>
      </w:r>
      <w:r w:rsidR="00FF5017">
        <w:rPr>
          <w:rFonts w:ascii="Gill Sans MT" w:eastAsia="Times New Roman" w:hAnsi="Gill Sans MT" w:cs="Arial"/>
        </w:rPr>
        <w:t xml:space="preserve">f Transportable Pressure Equipment Regulations 2009, </w:t>
      </w:r>
      <w:r w:rsidR="00FA38C5" w:rsidRPr="006B6EEC">
        <w:rPr>
          <w:rFonts w:ascii="Gill Sans MT" w:eastAsia="Times New Roman" w:hAnsi="Gill Sans MT" w:cs="Arial"/>
        </w:rPr>
        <w:t>provided that the followin</w:t>
      </w:r>
      <w:r w:rsidR="00B44025" w:rsidRPr="006B6EEC">
        <w:rPr>
          <w:rFonts w:ascii="Gill Sans MT" w:eastAsia="Times New Roman" w:hAnsi="Gill Sans MT" w:cs="Arial"/>
        </w:rPr>
        <w:t>g is</w:t>
      </w:r>
      <w:r w:rsidR="00FA38C5" w:rsidRPr="006B6EEC">
        <w:rPr>
          <w:rFonts w:ascii="Gill Sans MT" w:eastAsia="Times New Roman" w:hAnsi="Gill Sans MT" w:cs="Arial"/>
        </w:rPr>
        <w:t xml:space="preserve"> complied with:</w:t>
      </w:r>
    </w:p>
    <w:p w:rsidR="00FA38C5" w:rsidRDefault="00FA38C5" w:rsidP="00FA38C5">
      <w:pPr>
        <w:spacing w:after="0" w:line="240" w:lineRule="auto"/>
        <w:ind w:left="709"/>
        <w:rPr>
          <w:rFonts w:ascii="Gill Sans MT" w:eastAsia="Times New Roman" w:hAnsi="Gill Sans MT" w:cs="Arial"/>
        </w:rPr>
      </w:pPr>
    </w:p>
    <w:p w:rsidR="00FA38C5" w:rsidRPr="00FA38C5" w:rsidRDefault="00FA38C5" w:rsidP="00283D8C">
      <w:pPr>
        <w:pStyle w:val="ListParagraph"/>
        <w:numPr>
          <w:ilvl w:val="0"/>
          <w:numId w:val="11"/>
        </w:numPr>
        <w:spacing w:after="0" w:line="240" w:lineRule="auto"/>
        <w:ind w:left="2127" w:right="1819"/>
        <w:rPr>
          <w:rFonts w:ascii="Gill Sans MT" w:eastAsia="Times New Roman" w:hAnsi="Gill Sans MT" w:cs="Arial"/>
        </w:rPr>
      </w:pPr>
      <w:r w:rsidRPr="00FA38C5">
        <w:rPr>
          <w:rFonts w:ascii="Gill Sans MT" w:eastAsia="Times New Roman" w:hAnsi="Gill Sans MT" w:cs="Arial"/>
        </w:rPr>
        <w:t>The total quantity of fuel transported must not exceed 333 litres (petrol) or 1,000 litres (diesel);</w:t>
      </w:r>
    </w:p>
    <w:p w:rsidR="00FA38C5" w:rsidRPr="00FA38C5" w:rsidRDefault="00FA38C5" w:rsidP="00283D8C">
      <w:pPr>
        <w:pStyle w:val="ListParagraph"/>
        <w:numPr>
          <w:ilvl w:val="0"/>
          <w:numId w:val="11"/>
        </w:numPr>
        <w:spacing w:after="0" w:line="240" w:lineRule="auto"/>
        <w:ind w:left="2127" w:right="1819"/>
        <w:rPr>
          <w:rFonts w:ascii="Gill Sans MT" w:eastAsia="Times New Roman" w:hAnsi="Gill Sans MT" w:cs="Arial"/>
        </w:rPr>
      </w:pPr>
      <w:r w:rsidRPr="00FA38C5">
        <w:rPr>
          <w:rFonts w:ascii="Gill Sans MT" w:eastAsia="Times New Roman" w:hAnsi="Gill Sans MT" w:cs="Arial"/>
        </w:rPr>
        <w:t>The fuel must be transported in individual containers that comply with the relevant</w:t>
      </w:r>
      <w:r>
        <w:rPr>
          <w:rFonts w:ascii="Gill Sans MT" w:eastAsia="Times New Roman" w:hAnsi="Gill Sans MT" w:cs="Arial"/>
        </w:rPr>
        <w:t xml:space="preserve"> </w:t>
      </w:r>
      <w:r w:rsidRPr="00FA38C5">
        <w:rPr>
          <w:rFonts w:ascii="Gill Sans MT" w:eastAsia="Times New Roman" w:hAnsi="Gill Sans MT" w:cs="Arial"/>
        </w:rPr>
        <w:t>United Nations Economic Commission for Europe (“UNECE”) specifications and are</w:t>
      </w:r>
      <w:r w:rsidR="00D34E9E">
        <w:rPr>
          <w:rFonts w:ascii="Gill Sans MT" w:eastAsia="Times New Roman" w:hAnsi="Gill Sans MT" w:cs="Arial"/>
        </w:rPr>
        <w:t xml:space="preserve"> </w:t>
      </w:r>
      <w:r w:rsidRPr="00FA38C5">
        <w:rPr>
          <w:rFonts w:ascii="Gill Sans MT" w:eastAsia="Times New Roman" w:hAnsi="Gill Sans MT" w:cs="Arial"/>
        </w:rPr>
        <w:t>marked with the UN number for petrol (UN1203) or diesel (UN1202), as appropriate;</w:t>
      </w:r>
    </w:p>
    <w:p w:rsidR="00FA38C5" w:rsidRPr="00FA38C5" w:rsidRDefault="00FA38C5" w:rsidP="00283D8C">
      <w:pPr>
        <w:pStyle w:val="ListParagraph"/>
        <w:numPr>
          <w:ilvl w:val="0"/>
          <w:numId w:val="11"/>
        </w:numPr>
        <w:spacing w:after="0" w:line="240" w:lineRule="auto"/>
        <w:ind w:left="2127" w:right="1819"/>
        <w:rPr>
          <w:rFonts w:ascii="Gill Sans MT" w:eastAsia="Times New Roman" w:hAnsi="Gill Sans MT" w:cs="Arial"/>
        </w:rPr>
      </w:pPr>
      <w:r w:rsidRPr="00FA38C5">
        <w:rPr>
          <w:rFonts w:ascii="Gill Sans MT" w:eastAsia="Times New Roman" w:hAnsi="Gill Sans MT" w:cs="Arial"/>
        </w:rPr>
        <w:t xml:space="preserve">The containers must be </w:t>
      </w:r>
      <w:r w:rsidR="00587160" w:rsidRPr="004F4B14">
        <w:rPr>
          <w:rFonts w:ascii="Gill Sans MT" w:eastAsia="Times New Roman" w:hAnsi="Gill Sans MT" w:cs="Arial"/>
        </w:rPr>
        <w:t>stored</w:t>
      </w:r>
      <w:r w:rsidRPr="004F4B14">
        <w:rPr>
          <w:rFonts w:ascii="Gill Sans MT" w:eastAsia="Times New Roman" w:hAnsi="Gill Sans MT" w:cs="Arial"/>
        </w:rPr>
        <w:t xml:space="preserve"> </w:t>
      </w:r>
      <w:r w:rsidRPr="00FA38C5">
        <w:rPr>
          <w:rFonts w:ascii="Gill Sans MT" w:eastAsia="Times New Roman" w:hAnsi="Gill Sans MT" w:cs="Arial"/>
        </w:rPr>
        <w:t xml:space="preserve">in the </w:t>
      </w:r>
      <w:r w:rsidRPr="004F4B14">
        <w:rPr>
          <w:rFonts w:ascii="Gill Sans MT" w:eastAsia="Times New Roman" w:hAnsi="Gill Sans MT" w:cs="Arial"/>
        </w:rPr>
        <w:t xml:space="preserve">vehicle </w:t>
      </w:r>
      <w:r w:rsidR="00452106" w:rsidRPr="004F4B14">
        <w:rPr>
          <w:rFonts w:ascii="Gill Sans MT" w:eastAsia="Times New Roman" w:hAnsi="Gill Sans MT" w:cs="Arial"/>
        </w:rPr>
        <w:t xml:space="preserve">in a manner which </w:t>
      </w:r>
      <w:r w:rsidRPr="004F4B14">
        <w:rPr>
          <w:rFonts w:ascii="Gill Sans MT" w:eastAsia="Times New Roman" w:hAnsi="Gill Sans MT" w:cs="Arial"/>
        </w:rPr>
        <w:t>avoid</w:t>
      </w:r>
      <w:r w:rsidR="00452106" w:rsidRPr="004F4B14">
        <w:rPr>
          <w:rFonts w:ascii="Gill Sans MT" w:eastAsia="Times New Roman" w:hAnsi="Gill Sans MT" w:cs="Arial"/>
        </w:rPr>
        <w:t>s</w:t>
      </w:r>
      <w:r w:rsidRPr="004F4B14">
        <w:rPr>
          <w:rFonts w:ascii="Gill Sans MT" w:eastAsia="Times New Roman" w:hAnsi="Gill Sans MT" w:cs="Arial"/>
        </w:rPr>
        <w:t xml:space="preserve"> </w:t>
      </w:r>
      <w:r w:rsidRPr="00FA38C5">
        <w:rPr>
          <w:rFonts w:ascii="Gill Sans MT" w:eastAsia="Times New Roman" w:hAnsi="Gill Sans MT" w:cs="Arial"/>
        </w:rPr>
        <w:t>damage or loss from the vehicle;</w:t>
      </w:r>
    </w:p>
    <w:p w:rsidR="00FA38C5" w:rsidRPr="00FA38C5" w:rsidRDefault="00FA38C5" w:rsidP="00283D8C">
      <w:pPr>
        <w:spacing w:after="0" w:line="240" w:lineRule="auto"/>
        <w:ind w:left="2127"/>
        <w:rPr>
          <w:rFonts w:ascii="Gill Sans MT" w:eastAsia="Times New Roman" w:hAnsi="Gill Sans MT" w:cs="Arial"/>
        </w:rPr>
      </w:pPr>
    </w:p>
    <w:p w:rsidR="009A1B25" w:rsidRPr="00EC0ABE" w:rsidRDefault="009A1B25" w:rsidP="00FA38C5">
      <w:pPr>
        <w:spacing w:after="0" w:line="240" w:lineRule="auto"/>
        <w:ind w:left="709"/>
        <w:jc w:val="both"/>
        <w:rPr>
          <w:rFonts w:ascii="Gill Sans MT" w:hAnsi="Gill Sans MT"/>
          <w:sz w:val="4"/>
          <w:szCs w:val="4"/>
        </w:rPr>
      </w:pPr>
    </w:p>
    <w:p w:rsidR="005A3A8A" w:rsidRDefault="00FA38C5" w:rsidP="00BF53C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Containers</w:t>
      </w:r>
    </w:p>
    <w:p w:rsidR="008B7D02" w:rsidRDefault="008B7D02" w:rsidP="008B7D02">
      <w:pPr>
        <w:spacing w:after="0" w:line="240" w:lineRule="auto"/>
        <w:jc w:val="both"/>
        <w:rPr>
          <w:rFonts w:ascii="Gill Sans MT" w:hAnsi="Gill Sans MT"/>
          <w:b/>
        </w:rPr>
      </w:pPr>
    </w:p>
    <w:p w:rsidR="007826BF" w:rsidRDefault="00FA38C5" w:rsidP="00FA38C5">
      <w:pPr>
        <w:spacing w:after="0" w:line="240" w:lineRule="auto"/>
        <w:ind w:left="709"/>
        <w:jc w:val="both"/>
        <w:rPr>
          <w:rFonts w:ascii="Gill Sans MT" w:hAnsi="Gill Sans MT"/>
        </w:rPr>
      </w:pPr>
      <w:r>
        <w:rPr>
          <w:rFonts w:ascii="Gill Sans MT" w:hAnsi="Gill Sans MT"/>
        </w:rPr>
        <w:t>Suitable portable containers:</w:t>
      </w:r>
    </w:p>
    <w:p w:rsidR="00FA38C5" w:rsidRDefault="00FA38C5" w:rsidP="00FA38C5">
      <w:pPr>
        <w:spacing w:after="0" w:line="240" w:lineRule="auto"/>
        <w:ind w:left="709"/>
        <w:jc w:val="both"/>
        <w:rPr>
          <w:rFonts w:ascii="Gill Sans MT" w:hAnsi="Gill Sans MT"/>
        </w:rPr>
      </w:pPr>
    </w:p>
    <w:p w:rsidR="00FA38C5" w:rsidRDefault="00BD1860" w:rsidP="00BD18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are </w:t>
      </w:r>
      <w:r w:rsidR="00FA38C5" w:rsidRPr="00FA38C5">
        <w:rPr>
          <w:rFonts w:ascii="Gill Sans MT" w:hAnsi="Gill Sans MT"/>
        </w:rPr>
        <w:t>marked or labelled in a legible and indelibl</w:t>
      </w:r>
      <w:r>
        <w:rPr>
          <w:rFonts w:ascii="Gill Sans MT" w:hAnsi="Gill Sans MT"/>
        </w:rPr>
        <w:t xml:space="preserve">e form with </w:t>
      </w:r>
      <w:r w:rsidR="00FA38C5" w:rsidRPr="00BD1860">
        <w:rPr>
          <w:rFonts w:ascii="Gill Sans MT" w:hAnsi="Gill Sans MT"/>
        </w:rPr>
        <w:t xml:space="preserve">the words </w:t>
      </w:r>
      <w:r>
        <w:rPr>
          <w:rFonts w:ascii="Gill Sans MT" w:hAnsi="Gill Sans MT"/>
        </w:rPr>
        <w:t>“Petrol” or Diesel and “highly flammable</w:t>
      </w:r>
      <w:r w:rsidR="00B868EB">
        <w:rPr>
          <w:rFonts w:ascii="Gill Sans MT" w:hAnsi="Gill Sans MT"/>
        </w:rPr>
        <w:t>”</w:t>
      </w:r>
    </w:p>
    <w:p w:rsidR="00C679B7" w:rsidRPr="00BD1860" w:rsidRDefault="00C679B7" w:rsidP="00C679B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ill Sans MT" w:hAnsi="Gill Sans MT"/>
        </w:rPr>
      </w:pPr>
      <w:r w:rsidRPr="00C679B7">
        <w:rPr>
          <w:rFonts w:ascii="Gill Sans MT" w:hAnsi="Gill Sans MT"/>
        </w:rPr>
        <w:t>have an appropriate hazard warning sign,</w:t>
      </w:r>
    </w:p>
    <w:p w:rsidR="00FA38C5" w:rsidRPr="00BD1860" w:rsidRDefault="00BD1860" w:rsidP="00BD18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have </w:t>
      </w:r>
      <w:r w:rsidR="00FA38C5" w:rsidRPr="00BD1860">
        <w:rPr>
          <w:rFonts w:ascii="Gill Sans MT" w:hAnsi="Gill Sans MT"/>
        </w:rPr>
        <w:t>the nominal capacity in litres;</w:t>
      </w:r>
    </w:p>
    <w:p w:rsidR="00FA38C5" w:rsidRPr="00BD1860" w:rsidRDefault="00BD1860" w:rsidP="00BD18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have the </w:t>
      </w:r>
      <w:r w:rsidR="00FA38C5" w:rsidRPr="00BD1860">
        <w:rPr>
          <w:rFonts w:ascii="Gill Sans MT" w:hAnsi="Gill Sans MT"/>
        </w:rPr>
        <w:t>manufacturer’s name; and</w:t>
      </w:r>
      <w:r>
        <w:rPr>
          <w:rFonts w:ascii="Gill Sans MT" w:hAnsi="Gill Sans MT"/>
        </w:rPr>
        <w:t xml:space="preserve"> </w:t>
      </w:r>
      <w:r w:rsidR="00FA38C5" w:rsidRPr="00BD1860">
        <w:rPr>
          <w:rFonts w:ascii="Gill Sans MT" w:hAnsi="Gill Sans MT"/>
        </w:rPr>
        <w:t>date and month of manufacture.</w:t>
      </w:r>
    </w:p>
    <w:p w:rsidR="00BD1860" w:rsidRDefault="00BD1860" w:rsidP="00FA38C5">
      <w:pPr>
        <w:spacing w:after="0" w:line="240" w:lineRule="auto"/>
        <w:ind w:left="1418"/>
        <w:jc w:val="both"/>
        <w:rPr>
          <w:rFonts w:ascii="Gill Sans MT" w:hAnsi="Gill Sans MT"/>
        </w:rPr>
      </w:pPr>
    </w:p>
    <w:p w:rsidR="00FA38C5" w:rsidRDefault="006B6EEC" w:rsidP="00BD1860">
      <w:pPr>
        <w:spacing w:after="0" w:line="240" w:lineRule="auto"/>
        <w:ind w:left="709"/>
        <w:jc w:val="both"/>
        <w:rPr>
          <w:rFonts w:ascii="Gill Sans MT" w:hAnsi="Gill Sans MT"/>
        </w:rPr>
      </w:pPr>
      <w:r>
        <w:rPr>
          <w:rFonts w:ascii="Gill Sans MT" w:hAnsi="Gill Sans MT"/>
        </w:rPr>
        <w:t>The</w:t>
      </w:r>
      <w:r w:rsidR="00587160" w:rsidRPr="00587160">
        <w:rPr>
          <w:rFonts w:ascii="Gill Sans MT" w:hAnsi="Gill Sans MT"/>
          <w:color w:val="FF0000"/>
        </w:rPr>
        <w:t xml:space="preserve"> </w:t>
      </w:r>
      <w:r w:rsidR="00FA38C5" w:rsidRPr="00FA38C5">
        <w:rPr>
          <w:rFonts w:ascii="Gill Sans MT" w:hAnsi="Gill Sans MT"/>
        </w:rPr>
        <w:t>capacity of suitable portable containers must be no greater than:</w:t>
      </w:r>
    </w:p>
    <w:p w:rsidR="00D34E9E" w:rsidRPr="00FA38C5" w:rsidRDefault="00D34E9E" w:rsidP="00BD1860">
      <w:pPr>
        <w:spacing w:after="0" w:line="240" w:lineRule="auto"/>
        <w:ind w:left="709"/>
        <w:jc w:val="both"/>
        <w:rPr>
          <w:rFonts w:ascii="Gill Sans MT" w:hAnsi="Gill Sans MT"/>
        </w:rPr>
      </w:pPr>
    </w:p>
    <w:p w:rsidR="00FA38C5" w:rsidRPr="00FA38C5" w:rsidRDefault="00FA38C5" w:rsidP="00182291">
      <w:pPr>
        <w:spacing w:after="0" w:line="240" w:lineRule="auto"/>
        <w:ind w:left="1985" w:hanging="284"/>
        <w:jc w:val="both"/>
        <w:rPr>
          <w:rFonts w:ascii="Gill Sans MT" w:hAnsi="Gill Sans MT"/>
        </w:rPr>
      </w:pPr>
      <w:r w:rsidRPr="00FA38C5">
        <w:rPr>
          <w:rFonts w:ascii="Gill Sans MT" w:hAnsi="Gill Sans MT"/>
        </w:rPr>
        <w:t>• 10 litres, if made of plastic; or</w:t>
      </w:r>
    </w:p>
    <w:p w:rsidR="00FA38C5" w:rsidRDefault="00BD1860" w:rsidP="00182291">
      <w:pPr>
        <w:tabs>
          <w:tab w:val="left" w:pos="1560"/>
        </w:tabs>
        <w:spacing w:after="0" w:line="240" w:lineRule="auto"/>
        <w:ind w:left="1843" w:hanging="142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• 20 litres, if made of metal, </w:t>
      </w:r>
      <w:r w:rsidR="00FA38C5" w:rsidRPr="00FA38C5">
        <w:rPr>
          <w:rFonts w:ascii="Gill Sans MT" w:hAnsi="Gill Sans MT"/>
        </w:rPr>
        <w:t>although the total capacity may exceed the nominal capacity by between 10% and 15%.</w:t>
      </w:r>
    </w:p>
    <w:p w:rsidR="00FA38C5" w:rsidRDefault="00FA38C5" w:rsidP="00182291">
      <w:pPr>
        <w:spacing w:after="0" w:line="240" w:lineRule="auto"/>
        <w:ind w:left="1985"/>
        <w:jc w:val="both"/>
        <w:rPr>
          <w:rFonts w:ascii="Gill Sans MT" w:hAnsi="Gill Sans MT"/>
        </w:rPr>
      </w:pPr>
    </w:p>
    <w:p w:rsidR="00FA38C5" w:rsidRPr="00EC0ABE" w:rsidRDefault="00FA38C5" w:rsidP="00FA38C5">
      <w:pPr>
        <w:spacing w:after="0" w:line="240" w:lineRule="auto"/>
        <w:ind w:left="709"/>
        <w:jc w:val="both"/>
        <w:rPr>
          <w:rFonts w:ascii="Gill Sans MT" w:hAnsi="Gill Sans MT"/>
          <w:sz w:val="4"/>
          <w:szCs w:val="4"/>
        </w:rPr>
      </w:pPr>
    </w:p>
    <w:p w:rsidR="00D4168D" w:rsidRDefault="008B7D02" w:rsidP="008B7D0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ill Sans MT" w:hAnsi="Gill Sans MT"/>
          <w:b/>
        </w:rPr>
      </w:pPr>
      <w:r w:rsidRPr="008B7D02">
        <w:rPr>
          <w:rFonts w:ascii="Gill Sans MT" w:hAnsi="Gill Sans MT"/>
          <w:b/>
        </w:rPr>
        <w:t>Training</w:t>
      </w:r>
    </w:p>
    <w:p w:rsidR="008B7D02" w:rsidRDefault="008B7D02" w:rsidP="008B7D02">
      <w:pPr>
        <w:spacing w:after="0" w:line="240" w:lineRule="auto"/>
        <w:jc w:val="both"/>
        <w:rPr>
          <w:rFonts w:ascii="Gill Sans MT" w:hAnsi="Gill Sans MT"/>
          <w:b/>
        </w:rPr>
      </w:pPr>
    </w:p>
    <w:p w:rsidR="00D0311C" w:rsidRDefault="001F5E06" w:rsidP="00D0311C">
      <w:pPr>
        <w:spacing w:after="0" w:line="240" w:lineRule="auto"/>
        <w:ind w:left="720"/>
        <w:jc w:val="both"/>
        <w:rPr>
          <w:rFonts w:ascii="Gill Sans MT" w:hAnsi="Gill Sans MT"/>
        </w:rPr>
      </w:pPr>
      <w:r>
        <w:rPr>
          <w:rFonts w:ascii="Gill Sans MT" w:hAnsi="Gill Sans MT"/>
        </w:rPr>
        <w:t>If a vehicle is carrying loads in excess of 330 litres of petrol or 1000 litres of diesel the driver must undergo specialised training.</w:t>
      </w:r>
    </w:p>
    <w:p w:rsidR="00283D8C" w:rsidRDefault="00283D8C" w:rsidP="00D0311C">
      <w:pPr>
        <w:spacing w:after="0" w:line="240" w:lineRule="auto"/>
        <w:ind w:left="720"/>
        <w:jc w:val="both"/>
        <w:rPr>
          <w:rFonts w:ascii="Gill Sans MT" w:hAnsi="Gill Sans MT"/>
        </w:rPr>
      </w:pPr>
    </w:p>
    <w:p w:rsidR="00EC0ABE" w:rsidRDefault="00EC0ABE" w:rsidP="00452106">
      <w:pPr>
        <w:spacing w:after="0" w:line="240" w:lineRule="auto"/>
        <w:jc w:val="both"/>
        <w:rPr>
          <w:rFonts w:ascii="Gill Sans MT" w:hAnsi="Gill Sans MT"/>
        </w:rPr>
      </w:pPr>
      <w:bookmarkStart w:id="0" w:name="_GoBack"/>
      <w:bookmarkEnd w:id="0"/>
    </w:p>
    <w:p w:rsidR="00283D8C" w:rsidRDefault="00283D8C" w:rsidP="00283D8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Fire</w:t>
      </w:r>
    </w:p>
    <w:p w:rsidR="00283D8C" w:rsidRPr="00283D8C" w:rsidRDefault="00283D8C" w:rsidP="00283D8C">
      <w:pPr>
        <w:pStyle w:val="ListParagraph"/>
        <w:spacing w:after="0" w:line="240" w:lineRule="auto"/>
        <w:jc w:val="both"/>
        <w:rPr>
          <w:rFonts w:ascii="Gill Sans MT" w:hAnsi="Gill Sans MT"/>
          <w:b/>
        </w:rPr>
      </w:pPr>
    </w:p>
    <w:p w:rsidR="00BD1860" w:rsidRDefault="00283D8C" w:rsidP="00686151">
      <w:pPr>
        <w:spacing w:after="0" w:line="240" w:lineRule="auto"/>
        <w:ind w:left="720"/>
        <w:jc w:val="both"/>
        <w:rPr>
          <w:rFonts w:ascii="Gill Sans MT" w:hAnsi="Gill Sans MT"/>
        </w:rPr>
      </w:pPr>
      <w:r w:rsidRPr="00283D8C">
        <w:rPr>
          <w:rFonts w:ascii="Gill Sans MT" w:hAnsi="Gill Sans MT"/>
        </w:rPr>
        <w:t xml:space="preserve">The vehicle must carry a </w:t>
      </w:r>
      <w:r w:rsidR="00BD2436">
        <w:rPr>
          <w:rFonts w:ascii="Gill Sans MT" w:hAnsi="Gill Sans MT"/>
        </w:rPr>
        <w:t xml:space="preserve">multi-purpose powder extinguisher of no less than </w:t>
      </w:r>
      <w:r w:rsidRPr="00283D8C">
        <w:rPr>
          <w:rFonts w:ascii="Gill Sans MT" w:hAnsi="Gill Sans MT"/>
        </w:rPr>
        <w:t xml:space="preserve">2kg </w:t>
      </w:r>
      <w:r>
        <w:rPr>
          <w:rFonts w:ascii="Gill Sans MT" w:hAnsi="Gill Sans MT"/>
        </w:rPr>
        <w:t>and the driver should be trained in its use.</w:t>
      </w:r>
    </w:p>
    <w:p w:rsidR="00BD2436" w:rsidRDefault="00BD2436" w:rsidP="00686151">
      <w:pPr>
        <w:spacing w:after="0" w:line="240" w:lineRule="auto"/>
        <w:ind w:left="720"/>
        <w:jc w:val="both"/>
        <w:rPr>
          <w:rFonts w:ascii="Gill Sans MT" w:hAnsi="Gill Sans MT"/>
        </w:rPr>
      </w:pPr>
    </w:p>
    <w:p w:rsidR="00BD2436" w:rsidRPr="006B6EEC" w:rsidRDefault="00BD2436" w:rsidP="00686151">
      <w:pPr>
        <w:spacing w:after="0" w:line="240" w:lineRule="auto"/>
        <w:ind w:left="720"/>
        <w:jc w:val="both"/>
        <w:rPr>
          <w:rFonts w:ascii="Gill Sans MT" w:hAnsi="Gill Sans MT"/>
        </w:rPr>
      </w:pPr>
      <w:r w:rsidRPr="006B6EEC">
        <w:rPr>
          <w:rFonts w:ascii="Gill Sans MT" w:hAnsi="Gill Sans MT"/>
        </w:rPr>
        <w:lastRenderedPageBreak/>
        <w:t>Drivers should only tackle a fire if it is safe to do so otherwise move a safe distance</w:t>
      </w:r>
      <w:r w:rsidR="00452106">
        <w:rPr>
          <w:rFonts w:ascii="Gill Sans MT" w:hAnsi="Gill Sans MT"/>
        </w:rPr>
        <w:t xml:space="preserve"> from the vehicle and ensure no-</w:t>
      </w:r>
      <w:r w:rsidRPr="006B6EEC">
        <w:rPr>
          <w:rFonts w:ascii="Gill Sans MT" w:hAnsi="Gill Sans MT"/>
        </w:rPr>
        <w:t xml:space="preserve">one else approaches the vehicle. </w:t>
      </w:r>
    </w:p>
    <w:p w:rsidR="00BD2436" w:rsidRPr="006B6EEC" w:rsidRDefault="00BD2436" w:rsidP="00686151">
      <w:pPr>
        <w:spacing w:after="0" w:line="240" w:lineRule="auto"/>
        <w:ind w:left="720"/>
        <w:jc w:val="both"/>
        <w:rPr>
          <w:rFonts w:ascii="Gill Sans MT" w:hAnsi="Gill Sans MT"/>
        </w:rPr>
      </w:pPr>
    </w:p>
    <w:p w:rsidR="00BD2436" w:rsidRPr="006B6EEC" w:rsidRDefault="00452106" w:rsidP="00686151">
      <w:pPr>
        <w:spacing w:after="0" w:line="240" w:lineRule="auto"/>
        <w:ind w:left="720"/>
        <w:jc w:val="both"/>
        <w:rPr>
          <w:rFonts w:ascii="Gill Sans MT" w:hAnsi="Gill Sans MT"/>
        </w:rPr>
      </w:pPr>
      <w:r>
        <w:rPr>
          <w:rFonts w:ascii="Gill Sans MT" w:hAnsi="Gill Sans MT"/>
        </w:rPr>
        <w:t>No-</w:t>
      </w:r>
      <w:r w:rsidR="00BD2436" w:rsidRPr="006B6EEC">
        <w:rPr>
          <w:rFonts w:ascii="Gill Sans MT" w:hAnsi="Gill Sans MT"/>
        </w:rPr>
        <w:t>one in the vehicle should have a naked flame or other device that could potentially cause ignition such as a lighter, matches or e-cigarette.</w:t>
      </w:r>
    </w:p>
    <w:p w:rsidR="00BD1860" w:rsidRDefault="00BD1860" w:rsidP="00686151">
      <w:pPr>
        <w:spacing w:after="0" w:line="240" w:lineRule="auto"/>
        <w:ind w:left="720"/>
        <w:jc w:val="both"/>
        <w:rPr>
          <w:rFonts w:ascii="Gill Sans MT" w:hAnsi="Gill Sans MT"/>
        </w:rPr>
      </w:pPr>
    </w:p>
    <w:p w:rsidR="00BD1860" w:rsidRDefault="00BD1860" w:rsidP="00182291">
      <w:pPr>
        <w:spacing w:after="0" w:line="240" w:lineRule="auto"/>
        <w:jc w:val="both"/>
        <w:rPr>
          <w:rFonts w:ascii="Gill Sans MT" w:hAnsi="Gill Sans MT"/>
        </w:rPr>
      </w:pPr>
    </w:p>
    <w:p w:rsidR="00686151" w:rsidRDefault="00BD1860" w:rsidP="006861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PPE</w:t>
      </w:r>
    </w:p>
    <w:p w:rsidR="00BD1860" w:rsidRDefault="00BD1860" w:rsidP="00BD1860">
      <w:pPr>
        <w:pStyle w:val="ListParagraph"/>
        <w:spacing w:after="0" w:line="240" w:lineRule="auto"/>
        <w:jc w:val="both"/>
        <w:rPr>
          <w:rFonts w:ascii="Gill Sans MT" w:hAnsi="Gill Sans MT"/>
          <w:b/>
        </w:rPr>
      </w:pPr>
    </w:p>
    <w:p w:rsidR="00BD1860" w:rsidRPr="00D34E9E" w:rsidRDefault="00D0311C" w:rsidP="00D34E9E">
      <w:pPr>
        <w:pStyle w:val="ListParagraph"/>
        <w:spacing w:after="0" w:line="240" w:lineRule="auto"/>
        <w:jc w:val="both"/>
        <w:rPr>
          <w:rFonts w:ascii="Gill Sans MT" w:hAnsi="Gill Sans MT"/>
        </w:rPr>
      </w:pPr>
      <w:r w:rsidRPr="00D34E9E">
        <w:rPr>
          <w:rFonts w:ascii="Gill Sans MT" w:hAnsi="Gill Sans MT"/>
        </w:rPr>
        <w:t>D</w:t>
      </w:r>
      <w:r w:rsidR="006B6EEC">
        <w:rPr>
          <w:rFonts w:ascii="Gill Sans MT" w:hAnsi="Gill Sans MT"/>
        </w:rPr>
        <w:t>rivers must use the PPE</w:t>
      </w:r>
      <w:r w:rsidR="00587160" w:rsidRPr="00587160">
        <w:rPr>
          <w:rFonts w:ascii="Gill Sans MT" w:hAnsi="Gill Sans MT"/>
          <w:color w:val="FF0000"/>
        </w:rPr>
        <w:t xml:space="preserve"> </w:t>
      </w:r>
      <w:r w:rsidR="00587160" w:rsidRPr="006B6EEC">
        <w:rPr>
          <w:rFonts w:ascii="Gill Sans MT" w:hAnsi="Gill Sans MT"/>
        </w:rPr>
        <w:t xml:space="preserve">stated </w:t>
      </w:r>
      <w:r w:rsidR="00BD1860" w:rsidRPr="00D34E9E">
        <w:rPr>
          <w:rFonts w:ascii="Gill Sans MT" w:hAnsi="Gill Sans MT"/>
        </w:rPr>
        <w:t>in the associated COSHH assessment.</w:t>
      </w:r>
    </w:p>
    <w:p w:rsidR="00686151" w:rsidRDefault="00686151" w:rsidP="00686151">
      <w:pPr>
        <w:spacing w:after="0" w:line="240" w:lineRule="auto"/>
        <w:jc w:val="both"/>
        <w:rPr>
          <w:rFonts w:ascii="Gill Sans MT" w:hAnsi="Gill Sans MT"/>
          <w:b/>
        </w:rPr>
      </w:pPr>
    </w:p>
    <w:p w:rsidR="00686151" w:rsidRDefault="00686151" w:rsidP="00686151">
      <w:pPr>
        <w:spacing w:after="0" w:line="240" w:lineRule="auto"/>
        <w:ind w:left="709"/>
        <w:jc w:val="both"/>
        <w:rPr>
          <w:rFonts w:ascii="Gill Sans MT" w:hAnsi="Gill Sans MT"/>
        </w:rPr>
      </w:pPr>
    </w:p>
    <w:p w:rsidR="00686151" w:rsidRDefault="00D0311C" w:rsidP="006861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Spillage</w:t>
      </w:r>
    </w:p>
    <w:p w:rsidR="00D0311C" w:rsidRDefault="00D0311C" w:rsidP="00D0311C">
      <w:pPr>
        <w:spacing w:after="0" w:line="240" w:lineRule="auto"/>
        <w:jc w:val="both"/>
        <w:rPr>
          <w:rFonts w:ascii="Gill Sans MT" w:hAnsi="Gill Sans MT"/>
          <w:b/>
        </w:rPr>
      </w:pPr>
    </w:p>
    <w:p w:rsidR="00D0311C" w:rsidRPr="00D0311C" w:rsidRDefault="00D0311C" w:rsidP="00D0311C">
      <w:pPr>
        <w:spacing w:after="0" w:line="240" w:lineRule="auto"/>
        <w:ind w:left="709"/>
        <w:jc w:val="both"/>
        <w:rPr>
          <w:rFonts w:ascii="Gill Sans MT" w:hAnsi="Gill Sans MT"/>
        </w:rPr>
      </w:pPr>
      <w:r w:rsidRPr="00D0311C">
        <w:rPr>
          <w:rFonts w:ascii="Gill Sans MT" w:hAnsi="Gill Sans MT"/>
        </w:rPr>
        <w:t xml:space="preserve">The vehicle </w:t>
      </w:r>
      <w:r w:rsidR="004F4B14">
        <w:rPr>
          <w:rFonts w:ascii="Gill Sans MT" w:hAnsi="Gill Sans MT"/>
        </w:rPr>
        <w:t>shall</w:t>
      </w:r>
      <w:r w:rsidR="00FE0502" w:rsidRPr="004F4B14">
        <w:rPr>
          <w:rFonts w:ascii="Gill Sans MT" w:hAnsi="Gill Sans MT"/>
          <w:color w:val="FF0000"/>
        </w:rPr>
        <w:t xml:space="preserve"> </w:t>
      </w:r>
      <w:r w:rsidRPr="004F4B14">
        <w:rPr>
          <w:rFonts w:ascii="Gill Sans MT" w:hAnsi="Gill Sans MT"/>
        </w:rPr>
        <w:t>have</w:t>
      </w:r>
      <w:r w:rsidRPr="00D0311C">
        <w:rPr>
          <w:rFonts w:ascii="Gill Sans MT" w:hAnsi="Gill Sans MT"/>
        </w:rPr>
        <w:t xml:space="preserve"> a spillag</w:t>
      </w:r>
      <w:r w:rsidR="00D34E9E">
        <w:rPr>
          <w:rFonts w:ascii="Gill Sans MT" w:hAnsi="Gill Sans MT"/>
        </w:rPr>
        <w:t>e kit on board at all times when</w:t>
      </w:r>
      <w:r w:rsidRPr="00D0311C">
        <w:rPr>
          <w:rFonts w:ascii="Gill Sans MT" w:hAnsi="Gill Sans MT"/>
        </w:rPr>
        <w:t xml:space="preserve"> </w:t>
      </w:r>
      <w:r w:rsidR="00B44025">
        <w:rPr>
          <w:rFonts w:ascii="Gill Sans MT" w:hAnsi="Gill Sans MT"/>
        </w:rPr>
        <w:t xml:space="preserve">fuel </w:t>
      </w:r>
      <w:r w:rsidRPr="00D0311C">
        <w:rPr>
          <w:rFonts w:ascii="Gill Sans MT" w:hAnsi="Gill Sans MT"/>
        </w:rPr>
        <w:t>is being transported.</w:t>
      </w:r>
    </w:p>
    <w:p w:rsidR="00686151" w:rsidRDefault="00686151" w:rsidP="00686151">
      <w:pPr>
        <w:spacing w:after="0" w:line="240" w:lineRule="auto"/>
        <w:jc w:val="both"/>
        <w:rPr>
          <w:rFonts w:ascii="Gill Sans MT" w:hAnsi="Gill Sans MT"/>
          <w:b/>
        </w:rPr>
      </w:pPr>
    </w:p>
    <w:p w:rsidR="00686151" w:rsidRDefault="00686151" w:rsidP="00686151">
      <w:pPr>
        <w:spacing w:after="0" w:line="240" w:lineRule="auto"/>
        <w:ind w:left="709"/>
        <w:jc w:val="both"/>
        <w:rPr>
          <w:rFonts w:ascii="Gill Sans MT" w:hAnsi="Gill Sans MT"/>
        </w:rPr>
      </w:pPr>
    </w:p>
    <w:p w:rsidR="00686151" w:rsidRPr="00686151" w:rsidRDefault="00686151" w:rsidP="00686151">
      <w:pPr>
        <w:spacing w:after="0" w:line="240" w:lineRule="auto"/>
        <w:ind w:left="709"/>
        <w:jc w:val="both"/>
        <w:rPr>
          <w:rFonts w:ascii="Gill Sans MT" w:hAnsi="Gill Sans MT"/>
        </w:rPr>
      </w:pPr>
    </w:p>
    <w:p w:rsidR="00686151" w:rsidRPr="008B7D02" w:rsidRDefault="00686151" w:rsidP="00686151">
      <w:pPr>
        <w:spacing w:after="0" w:line="240" w:lineRule="auto"/>
        <w:ind w:left="720"/>
        <w:jc w:val="both"/>
        <w:rPr>
          <w:rFonts w:ascii="Gill Sans MT" w:hAnsi="Gill Sans MT"/>
        </w:rPr>
      </w:pPr>
    </w:p>
    <w:p w:rsidR="002E25DA" w:rsidRPr="004144B1" w:rsidRDefault="002E25DA" w:rsidP="002E25DA">
      <w:pPr>
        <w:spacing w:after="0" w:line="240" w:lineRule="auto"/>
        <w:rPr>
          <w:rFonts w:ascii="Gill Sans MT" w:eastAsia="Times New Roman" w:hAnsi="Gill Sans MT" w:cs="Arial"/>
          <w:b/>
        </w:rPr>
      </w:pPr>
      <w:r w:rsidRPr="004144B1">
        <w:rPr>
          <w:rFonts w:ascii="Gill Sans MT" w:eastAsia="Times New Roman" w:hAnsi="Gill Sans MT" w:cs="Arial"/>
          <w:b/>
        </w:rPr>
        <w:t>Record of Change:</w:t>
      </w:r>
    </w:p>
    <w:p w:rsidR="002E25DA" w:rsidRPr="004144B1" w:rsidRDefault="002E25DA" w:rsidP="002E25DA">
      <w:pPr>
        <w:spacing w:after="0" w:line="240" w:lineRule="auto"/>
        <w:rPr>
          <w:rFonts w:ascii="Gill Sans MT" w:eastAsia="Times New Roman" w:hAnsi="Gill Sans MT" w:cs="Arial"/>
          <w:b/>
        </w:rPr>
      </w:pPr>
    </w:p>
    <w:p w:rsidR="002E25DA" w:rsidRPr="004144B1" w:rsidRDefault="002E25DA" w:rsidP="002E25DA">
      <w:pPr>
        <w:spacing w:after="0" w:line="240" w:lineRule="auto"/>
        <w:rPr>
          <w:rFonts w:ascii="Gill Sans MT" w:eastAsia="Times New Roman" w:hAnsi="Gill Sans MT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2327"/>
        <w:gridCol w:w="1701"/>
        <w:gridCol w:w="2126"/>
        <w:gridCol w:w="2261"/>
      </w:tblGrid>
      <w:tr w:rsidR="002E25DA" w:rsidRPr="004144B1" w:rsidTr="00867FCD">
        <w:tc>
          <w:tcPr>
            <w:tcW w:w="1779" w:type="dxa"/>
          </w:tcPr>
          <w:p w:rsidR="002E25DA" w:rsidRPr="004144B1" w:rsidRDefault="002E25DA" w:rsidP="00867FCD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 w:rsidRPr="004144B1">
              <w:rPr>
                <w:rFonts w:ascii="Gill Sans MT" w:eastAsia="Times New Roman" w:hAnsi="Gill Sans MT" w:cs="Arial"/>
                <w:b/>
              </w:rPr>
              <w:t>Version</w:t>
            </w:r>
          </w:p>
        </w:tc>
        <w:tc>
          <w:tcPr>
            <w:tcW w:w="2327" w:type="dxa"/>
          </w:tcPr>
          <w:p w:rsidR="002E25DA" w:rsidRPr="004144B1" w:rsidRDefault="002E25DA" w:rsidP="00867FCD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 w:rsidRPr="004144B1">
              <w:rPr>
                <w:rFonts w:ascii="Gill Sans MT" w:eastAsia="Times New Roman" w:hAnsi="Gill Sans MT" w:cs="Arial"/>
                <w:b/>
              </w:rPr>
              <w:t>Authorised By</w:t>
            </w:r>
          </w:p>
        </w:tc>
        <w:tc>
          <w:tcPr>
            <w:tcW w:w="1701" w:type="dxa"/>
          </w:tcPr>
          <w:p w:rsidR="002E25DA" w:rsidRPr="004144B1" w:rsidRDefault="002E25DA" w:rsidP="00867FCD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 w:rsidRPr="004144B1">
              <w:rPr>
                <w:rFonts w:ascii="Gill Sans MT" w:eastAsia="Times New Roman" w:hAnsi="Gill Sans MT" w:cs="Arial"/>
                <w:b/>
              </w:rPr>
              <w:t>Date</w:t>
            </w:r>
          </w:p>
        </w:tc>
        <w:tc>
          <w:tcPr>
            <w:tcW w:w="2126" w:type="dxa"/>
          </w:tcPr>
          <w:p w:rsidR="002E25DA" w:rsidRPr="004144B1" w:rsidRDefault="002E25DA" w:rsidP="00867FCD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 w:rsidRPr="004144B1">
              <w:rPr>
                <w:rFonts w:ascii="Gill Sans MT" w:eastAsia="Times New Roman" w:hAnsi="Gill Sans MT" w:cs="Arial"/>
                <w:b/>
              </w:rPr>
              <w:t>Distributed To</w:t>
            </w:r>
          </w:p>
        </w:tc>
        <w:tc>
          <w:tcPr>
            <w:tcW w:w="2261" w:type="dxa"/>
          </w:tcPr>
          <w:p w:rsidR="002E25DA" w:rsidRPr="004144B1" w:rsidRDefault="002E25DA" w:rsidP="00867FCD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 w:rsidRPr="004144B1">
              <w:rPr>
                <w:rFonts w:ascii="Gill Sans MT" w:eastAsia="Times New Roman" w:hAnsi="Gill Sans MT" w:cs="Arial"/>
                <w:b/>
              </w:rPr>
              <w:t>Distribution Date</w:t>
            </w:r>
          </w:p>
        </w:tc>
      </w:tr>
      <w:tr w:rsidR="002E25DA" w:rsidRPr="004144B1" w:rsidTr="00867FCD">
        <w:tc>
          <w:tcPr>
            <w:tcW w:w="1779" w:type="dxa"/>
          </w:tcPr>
          <w:p w:rsidR="002E25DA" w:rsidRPr="00BF4D11" w:rsidRDefault="000D4FE6" w:rsidP="00867FCD">
            <w:pPr>
              <w:jc w:val="center"/>
              <w:rPr>
                <w:rFonts w:ascii="Gill Sans MT" w:eastAsia="Times New Roman" w:hAnsi="Gill Sans MT" w:cs="Arial"/>
              </w:rPr>
            </w:pPr>
            <w:r w:rsidRPr="00BF4D11">
              <w:rPr>
                <w:rFonts w:ascii="Gill Sans MT" w:eastAsia="Times New Roman" w:hAnsi="Gill Sans MT" w:cs="Arial"/>
              </w:rPr>
              <w:t>1</w:t>
            </w:r>
          </w:p>
        </w:tc>
        <w:tc>
          <w:tcPr>
            <w:tcW w:w="2327" w:type="dxa"/>
          </w:tcPr>
          <w:p w:rsidR="002E25DA" w:rsidRPr="00BF4D11" w:rsidRDefault="00BF4D11" w:rsidP="00867FCD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People &amp; Finance Manager</w:t>
            </w:r>
          </w:p>
        </w:tc>
        <w:tc>
          <w:tcPr>
            <w:tcW w:w="1701" w:type="dxa"/>
          </w:tcPr>
          <w:p w:rsidR="002E25DA" w:rsidRPr="00BF4D11" w:rsidRDefault="00BF4D11" w:rsidP="00867FCD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Oct 17</w:t>
            </w:r>
          </w:p>
        </w:tc>
        <w:tc>
          <w:tcPr>
            <w:tcW w:w="2126" w:type="dxa"/>
          </w:tcPr>
          <w:p w:rsidR="002E25DA" w:rsidRPr="00BF4D11" w:rsidRDefault="000D4FE6" w:rsidP="00867FCD">
            <w:pPr>
              <w:jc w:val="center"/>
              <w:rPr>
                <w:rFonts w:ascii="Gill Sans MT" w:eastAsia="Times New Roman" w:hAnsi="Gill Sans MT" w:cs="Arial"/>
              </w:rPr>
            </w:pPr>
            <w:r w:rsidRPr="00BF4D11">
              <w:rPr>
                <w:rFonts w:ascii="Gill Sans MT" w:eastAsia="Times New Roman" w:hAnsi="Gill Sans MT" w:cs="Arial"/>
              </w:rPr>
              <w:t>All employees</w:t>
            </w:r>
          </w:p>
        </w:tc>
        <w:tc>
          <w:tcPr>
            <w:tcW w:w="2261" w:type="dxa"/>
          </w:tcPr>
          <w:p w:rsidR="002E25DA" w:rsidRPr="00BF4D11" w:rsidRDefault="00BF4D11" w:rsidP="00273397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Nov 17</w:t>
            </w:r>
          </w:p>
        </w:tc>
      </w:tr>
    </w:tbl>
    <w:p w:rsidR="002E25DA" w:rsidRDefault="002E25DA" w:rsidP="00B743E3">
      <w:pPr>
        <w:rPr>
          <w:rFonts w:ascii="Gill Sans MT" w:hAnsi="Gill Sans MT"/>
        </w:rPr>
      </w:pPr>
    </w:p>
    <w:sectPr w:rsidR="002E25DA" w:rsidSect="002E25D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A9D" w:rsidRDefault="00EF7A9D" w:rsidP="00351E20">
      <w:pPr>
        <w:spacing w:after="0" w:line="240" w:lineRule="auto"/>
      </w:pPr>
      <w:r>
        <w:separator/>
      </w:r>
    </w:p>
  </w:endnote>
  <w:endnote w:type="continuationSeparator" w:id="0">
    <w:p w:rsidR="00EF7A9D" w:rsidRDefault="00EF7A9D" w:rsidP="0035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A9D" w:rsidRDefault="00EF7A9D" w:rsidP="00351E20">
      <w:pPr>
        <w:spacing w:after="0" w:line="240" w:lineRule="auto"/>
      </w:pPr>
      <w:r>
        <w:separator/>
      </w:r>
    </w:p>
  </w:footnote>
  <w:footnote w:type="continuationSeparator" w:id="0">
    <w:p w:rsidR="00EF7A9D" w:rsidRDefault="00EF7A9D" w:rsidP="00351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304ED"/>
    <w:multiLevelType w:val="hybridMultilevel"/>
    <w:tmpl w:val="713A3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5976"/>
    <w:multiLevelType w:val="hybridMultilevel"/>
    <w:tmpl w:val="03A8B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14247"/>
    <w:multiLevelType w:val="hybridMultilevel"/>
    <w:tmpl w:val="A80695C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7ED6677"/>
    <w:multiLevelType w:val="hybridMultilevel"/>
    <w:tmpl w:val="394A2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B302F"/>
    <w:multiLevelType w:val="hybridMultilevel"/>
    <w:tmpl w:val="35BE47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E1F69"/>
    <w:multiLevelType w:val="hybridMultilevel"/>
    <w:tmpl w:val="5E72902E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3CD57284"/>
    <w:multiLevelType w:val="hybridMultilevel"/>
    <w:tmpl w:val="E48695AE"/>
    <w:lvl w:ilvl="0" w:tplc="B00E95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B5FE5"/>
    <w:multiLevelType w:val="hybridMultilevel"/>
    <w:tmpl w:val="3DF40DF4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5A1112EA"/>
    <w:multiLevelType w:val="hybridMultilevel"/>
    <w:tmpl w:val="63E47C4A"/>
    <w:lvl w:ilvl="0" w:tplc="95508B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F74D3"/>
    <w:multiLevelType w:val="hybridMultilevel"/>
    <w:tmpl w:val="886C11A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72A87496"/>
    <w:multiLevelType w:val="hybridMultilevel"/>
    <w:tmpl w:val="B8CC17B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52A146E"/>
    <w:multiLevelType w:val="hybridMultilevel"/>
    <w:tmpl w:val="C436C0C8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20"/>
    <w:rsid w:val="000055A7"/>
    <w:rsid w:val="00025C42"/>
    <w:rsid w:val="00040A9A"/>
    <w:rsid w:val="00044BF2"/>
    <w:rsid w:val="0006714B"/>
    <w:rsid w:val="00080DCE"/>
    <w:rsid w:val="000D4A3A"/>
    <w:rsid w:val="000D4FE6"/>
    <w:rsid w:val="000D53D6"/>
    <w:rsid w:val="000F1CA5"/>
    <w:rsid w:val="00103E0B"/>
    <w:rsid w:val="0010599A"/>
    <w:rsid w:val="001115DC"/>
    <w:rsid w:val="00174DEB"/>
    <w:rsid w:val="00182291"/>
    <w:rsid w:val="001D7AE3"/>
    <w:rsid w:val="001E58EB"/>
    <w:rsid w:val="001F5E06"/>
    <w:rsid w:val="002055DC"/>
    <w:rsid w:val="0023298D"/>
    <w:rsid w:val="00273397"/>
    <w:rsid w:val="00283D8C"/>
    <w:rsid w:val="002B06F8"/>
    <w:rsid w:val="002E1755"/>
    <w:rsid w:val="002E1CEE"/>
    <w:rsid w:val="002E25DA"/>
    <w:rsid w:val="002F2C2B"/>
    <w:rsid w:val="003049D4"/>
    <w:rsid w:val="00306DA9"/>
    <w:rsid w:val="0033010E"/>
    <w:rsid w:val="003505C1"/>
    <w:rsid w:val="00351C88"/>
    <w:rsid w:val="00351E20"/>
    <w:rsid w:val="00354C11"/>
    <w:rsid w:val="003574F3"/>
    <w:rsid w:val="003605E0"/>
    <w:rsid w:val="003703A7"/>
    <w:rsid w:val="00380F6F"/>
    <w:rsid w:val="00391B28"/>
    <w:rsid w:val="00392419"/>
    <w:rsid w:val="003A44B3"/>
    <w:rsid w:val="003E2A0F"/>
    <w:rsid w:val="003E6CF5"/>
    <w:rsid w:val="003E732E"/>
    <w:rsid w:val="00443930"/>
    <w:rsid w:val="00452106"/>
    <w:rsid w:val="004619E2"/>
    <w:rsid w:val="004C6C56"/>
    <w:rsid w:val="004F4B14"/>
    <w:rsid w:val="0051751E"/>
    <w:rsid w:val="00527D0C"/>
    <w:rsid w:val="005325C1"/>
    <w:rsid w:val="005452C7"/>
    <w:rsid w:val="00564EA4"/>
    <w:rsid w:val="00587160"/>
    <w:rsid w:val="00595A59"/>
    <w:rsid w:val="005A3A8A"/>
    <w:rsid w:val="005A4314"/>
    <w:rsid w:val="005A5678"/>
    <w:rsid w:val="00652B72"/>
    <w:rsid w:val="00673953"/>
    <w:rsid w:val="00680740"/>
    <w:rsid w:val="00686151"/>
    <w:rsid w:val="006A7C9D"/>
    <w:rsid w:val="006B6EEC"/>
    <w:rsid w:val="006D4B8E"/>
    <w:rsid w:val="00714776"/>
    <w:rsid w:val="007312B1"/>
    <w:rsid w:val="00752736"/>
    <w:rsid w:val="007628F0"/>
    <w:rsid w:val="00775D3C"/>
    <w:rsid w:val="007826BF"/>
    <w:rsid w:val="007954D5"/>
    <w:rsid w:val="00795BBC"/>
    <w:rsid w:val="007A7CE7"/>
    <w:rsid w:val="007B2F56"/>
    <w:rsid w:val="007B6FA2"/>
    <w:rsid w:val="007D70F3"/>
    <w:rsid w:val="00837577"/>
    <w:rsid w:val="008646EE"/>
    <w:rsid w:val="00867FCD"/>
    <w:rsid w:val="0087778B"/>
    <w:rsid w:val="008B28FA"/>
    <w:rsid w:val="008B7D02"/>
    <w:rsid w:val="008C70FC"/>
    <w:rsid w:val="008D1B34"/>
    <w:rsid w:val="008E5ECF"/>
    <w:rsid w:val="00905FA5"/>
    <w:rsid w:val="009210FB"/>
    <w:rsid w:val="0092588C"/>
    <w:rsid w:val="00942243"/>
    <w:rsid w:val="00971B1A"/>
    <w:rsid w:val="009820F7"/>
    <w:rsid w:val="009A1B25"/>
    <w:rsid w:val="009B3153"/>
    <w:rsid w:val="00A07AE2"/>
    <w:rsid w:val="00A13AC8"/>
    <w:rsid w:val="00A36038"/>
    <w:rsid w:val="00A66DC1"/>
    <w:rsid w:val="00A820AA"/>
    <w:rsid w:val="00A904AC"/>
    <w:rsid w:val="00A93818"/>
    <w:rsid w:val="00B07080"/>
    <w:rsid w:val="00B13904"/>
    <w:rsid w:val="00B44025"/>
    <w:rsid w:val="00B7298D"/>
    <w:rsid w:val="00B743E3"/>
    <w:rsid w:val="00B868EB"/>
    <w:rsid w:val="00BC199F"/>
    <w:rsid w:val="00BD1860"/>
    <w:rsid w:val="00BD2436"/>
    <w:rsid w:val="00BE41E9"/>
    <w:rsid w:val="00BF4D11"/>
    <w:rsid w:val="00BF6CC3"/>
    <w:rsid w:val="00C011A5"/>
    <w:rsid w:val="00C024B7"/>
    <w:rsid w:val="00C679B7"/>
    <w:rsid w:val="00CD386A"/>
    <w:rsid w:val="00D0311C"/>
    <w:rsid w:val="00D31835"/>
    <w:rsid w:val="00D34E9E"/>
    <w:rsid w:val="00D4168D"/>
    <w:rsid w:val="00DB3EE5"/>
    <w:rsid w:val="00DC3785"/>
    <w:rsid w:val="00DC671A"/>
    <w:rsid w:val="00DF2D78"/>
    <w:rsid w:val="00DF676C"/>
    <w:rsid w:val="00E6676C"/>
    <w:rsid w:val="00E96E58"/>
    <w:rsid w:val="00EA2F11"/>
    <w:rsid w:val="00EC0ABE"/>
    <w:rsid w:val="00ED027F"/>
    <w:rsid w:val="00ED3222"/>
    <w:rsid w:val="00EE4909"/>
    <w:rsid w:val="00EE4B90"/>
    <w:rsid w:val="00EF2415"/>
    <w:rsid w:val="00EF7A9D"/>
    <w:rsid w:val="00F07339"/>
    <w:rsid w:val="00F2293A"/>
    <w:rsid w:val="00F50232"/>
    <w:rsid w:val="00F640A5"/>
    <w:rsid w:val="00F820BF"/>
    <w:rsid w:val="00F96D33"/>
    <w:rsid w:val="00FA38C5"/>
    <w:rsid w:val="00FA44B7"/>
    <w:rsid w:val="00FB20A4"/>
    <w:rsid w:val="00FB21FD"/>
    <w:rsid w:val="00FC01C5"/>
    <w:rsid w:val="00FD3CCE"/>
    <w:rsid w:val="00FD48A8"/>
    <w:rsid w:val="00FE0502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E7F61A28-C762-4220-8D0F-485784D4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E20"/>
  </w:style>
  <w:style w:type="paragraph" w:styleId="Footer">
    <w:name w:val="footer"/>
    <w:basedOn w:val="Normal"/>
    <w:link w:val="FooterChar"/>
    <w:uiPriority w:val="99"/>
    <w:unhideWhenUsed/>
    <w:rsid w:val="00351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E20"/>
  </w:style>
  <w:style w:type="table" w:styleId="TableGrid">
    <w:name w:val="Table Grid"/>
    <w:basedOn w:val="TableNormal"/>
    <w:uiPriority w:val="39"/>
    <w:rsid w:val="00EE4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9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7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273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43D3-3E90-48B9-AF70-701C9A0B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Lohel, Ricky</dc:creator>
  <cp:lastModifiedBy>Fitzgerald, Carleen</cp:lastModifiedBy>
  <cp:revision>7</cp:revision>
  <cp:lastPrinted>2017-07-31T15:09:00Z</cp:lastPrinted>
  <dcterms:created xsi:type="dcterms:W3CDTF">2017-11-08T15:56:00Z</dcterms:created>
  <dcterms:modified xsi:type="dcterms:W3CDTF">2020-09-15T11:09:00Z</dcterms:modified>
</cp:coreProperties>
</file>